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760. “灵活就业社保，安心保障”——灵活就业人员参保意愿与政策知晓度研究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研究对象：灵活就业（外卖/网约车/自由职业）人员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核心问题/变量：社保缴纳方式与负担、断缴顾虑、新就业形态职业伤害保障试点、养老与医疗规划、政策知晓与期待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保缴纳方式与负担、断缴顾虑（政策知晓与期待）之间存在可检验的关系，且受群体差异（年龄/收入/地区/身份）调节（待验证）；H2：社保缴纳方式与负担、断缴顾虑是影响政策知晓与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✅灵活就业人员社保政策（人社部）；🔶职业伤害保障试点数据（须下载核验）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灵活就业平台渠道问卷+人社局访谈；获奖黑名单核对：近三年无灵活就业社保获奖题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✅灵活就业人员社保政策（人社部）；🔶职业伤害保障试点数据（须下载核验）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