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784. “职场带饭，省钱健康”——上班族带饭动机与便当器具消费意愿研究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研究对象：坚持带饭上班的职场人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核心问题/变量：带饭动机（省钱/健康/外卖疲乏）、便当盒与器具消费、备餐时间、与外卖/食堂对比、公司加热设施、坚持度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H1：带饭动机（省钱/健康/外卖疲乏）、便当盒与器具消费显著影响坚持度（待验证）；H2：不同人群（年龄/收入/城市等级）在上述关系中存在调节作用（待验证）。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🔶带饭文化话题数据（社交媒体/媒体须下载核验）；✅健康饮食倡导（卫健委）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职场社群问卷+便当用品电商数据；获奖黑名单核对：近三年无带饭消费获奖题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🔶带饭文化话题数据（社交媒体/媒体须下载核验）；✅健康饮食倡导（卫健委）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