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804. “简历投递无数，石沉大海”——求职者简历投递行为与招聘反馈体验研究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研究对象：近期求职（应届/跳槽）投递简历的求职者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核心问题/变量：简历投递量（海投）、回复率与周期、AI初筛影响、已读不回体验、平台（BOSS/智联）使用、求职焦虑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简历投递量（海投）、回复率与周期（求职焦虑）之间存在可检验的关系，且受群体差异（年龄/收入/地区/身份）调节（待验证）；H2：简历投递量（海投）、回复率与周期是影响求职焦虑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🔶青年就业形势数据（人社部、统计局须下载核验）；✅就业优先政策（国务院）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求职社群问卷+招聘平台数据；获奖黑名单核对：近三年无简历投递获奖题（区别于706 AI简历）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🔶青年就业形势数据（人社部、统计局须下载核验）；✅就业优先政策（国务院）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