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825. “35岁职场危机，转行还是坚守”——35岁职场人职业瓶颈感知与转行意愿研究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研究对象：35岁左右经历职业瓶颈/被优化/转行的职场人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核心问题/变量：35岁危机感知（招聘门槛/晋升受限）、被优化经历、转行方向（保险/家政/自由职业）、收入落差、政策保障期待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35岁危机感知（招聘门槛/晋升受限）、被优化经历（政策保障期待）之间存在可检验的关系，且受群体差异（年龄/收入/地区/身份）调节（待验证）；H2：35岁危机感知（招聘门槛/晋升受限）、被优化经历是影响政策保障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🔶35岁门槛整治讨论（人社部回应须下载核验）；🔶中年就业数据（须下载核验）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职场社群问卷+HR访谈；获奖黑名单核对：近三年无35岁危机获奖题（区别于357中年转岗）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🔶35岁门槛整治讨论（人社部回应须下载核验）；🔶中年就业数据（须下载核验）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