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857. “考证热，卷证书”——职场人考证消费意愿及报班选择因素调查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研究对象：在职备考职业证书（CPA/法考/建造师等）的上班族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核心问题/变量：考证动机（涨薪/转行/安全感）、报班与教材消费、备考时间管理、证书含金量兑现、多证焦虑、考后就业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H1：考证动机（涨薪/转行/安全感）、报班与教材消费显著影响考后就业（待验证）；H2：不同人群（年龄/收入/城市等级）在上述关系中存在调节作用（待验证）。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🔶职业资格考试数据（人社部须下载核验）；✅职业技能提升行动（人社部）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考公社群问卷+培训机构访谈；获奖黑名单核对：近三年无职场考证获奖题（区别于42技能学习）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🔶职业资格考试数据（人社部须下载核验）；✅职业技能提升行动（人社部）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