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883. “绩效面谈，KPI的恐惧”——员工KPI考核公平感知与绩效面谈满意度研究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研究对象：经历绩效面谈/末位淘汰焦虑的职场人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核心问题/变量：绩效指标合理性、末位淘汰感知、面谈沟通（打分/申诉）、绩效与薪资挂钩、OKR落地、员工心理安全感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绩效指标合理性、末位淘汰感知（员工心理安全感）之间存在可检验的关系，且受群体差异（年龄/收入/地区/身份）调节（待验证）；H2：绩效指标合理性、末位淘汰感知是影响员工心理安全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🔶企业绩效管理与劳动法合规（人社部）；🔶绩效争议案例（须下载核验）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职场社群问卷+HR访谈；获奖黑名单核对：近三年无绩效管理获奖题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🔶企业绩效管理与劳动法合规（人社部）；🔶绩效争议案例（须下载核验）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