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932. “办公室断舍离，工位改造”——上班族工位改造的消费需求及装备购买意愿调查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研究对象：改造工位（升降桌/绿植/手办）的上班族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核心问题/变量：工位改造动机（幸福感/效率）、升降桌等装备消费、桌面绿植手办、公司支持（工位费报销）、与居家办公衔接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工位改造动机（幸福感/效率）、升降桌等装备消费（与居家办公衔接）之间存在可检验的关系，且受群体差异（年龄/收入/地区/身份）调节（待验证）；H2：工位改造动机（幸福感/效率）、升降桌等装备消费是影响与居家办公衔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🔶办公环境健康政策（卫健委职业健康）；🔶工位改造话题数据（社交媒体须下载核验）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职场社群问卷+办公用品电商数据；获奖黑名单核对：近三年无工位改造获奖题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🔶办公环境健康政策（卫健委职业健康）；🔶工位改造话题数据（社交媒体须下载核验）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