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974. “周休2.5天，错峰休息”——周休2.5天职工意愿与短途游消费拉动调查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研究对象：关注弹性作息/错峰休假的上班族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核心问题/变量：周休2.5天意愿与可行性、错峰休假（带薪年假分散）接受、企业执行瓶颈（人手）、消费拉动（短途游）、职工支持度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周休2.5天意愿与可行性、错峰休假（带薪年假分散）接受（职工支持度）之间存在可检验的关系，且受群体差异（年龄/收入/地区/身份）调节（待验证）；H2：周休2.5天意愿与可行性、错峰休假（带薪年假分散）接受是影响职工支持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🔶弹性作息与休假促进消费政策建议（发改委等）；🔶错峰休假讨论报道（须下载核验）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职场问卷+人社部门访谈；获奖黑名单核对：近三年无2.5天休假获奖题（区别于616带薪休假泛题，聚焦错峰弹性）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🔶弹性作息与休假促进消费政策建议（发改委等）；🔶错峰休假讨论报道（须下载核验）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