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990. “职场MBTI入职测，性格筛选”——求职者入职性格测试认知与接受度研究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研究对象：经历过入职性格测试（人才测评）的求职者、企业HR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核心问题/变量：入职测频次（MBTI/九型）、测试结果影响录用感知、测评科学性质疑（伪科学）、岗位匹配度、隐私与公平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职测频次（MBTI/九型）、测试结果影响录用感知（隐私与公平）之间存在可检验的关系，且受群体差异（年龄/收入/地区/身份）调节（待验证）；H2：入职测频次（MBTI/九型）、测试结果影响录用感知是影响隐私与公平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🔶招聘测评与就业公平规范（人社部）；🔶MBTI测评论证报道（须下载核验）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求职者问卷+HR访谈；获奖黑名单核对：近三年无入职性格测试获奖题（区别于922 MBTI相亲）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🔶招聘测评与就业公平规范（人社部）；🔶MBTI测评论证报道（须下载核验）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