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1038. “村咖出圈，县城新品咖啡”——县城精品咖啡消费偏好与返乡创业意愿调查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研究对象：县城精品咖啡店主与顾客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核心问题/变量：县城精品咖啡开店潮（返乡/游客）、客单价与消费频次、与连锁咖啡竞争、选品（本地食材/旅游营销）、盈利模型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H1：县城精品咖啡开店潮（返乡/游客）、客单价与消费频次显著影响盈利模型（待验证）；H2：不同人群（年龄/收入/城市等级）在上述关系中存在调节作用（待验证）。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🔶县域商业体系建设政策（商务部）；🔶返乡创业咖啡案例（媒体报道须下载核验）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县域咖啡馆实地问卷+店主访谈；获奖黑名单核对：近三年无县城精品咖啡获奖题（区别于599村咖、844县城连锁咖啡）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🔶县域商业体系建设政策（商务部）；🔶返乡创业咖啡案例（媒体报道须下载核验）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