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1110. “强村公司，村集体生意经”——强村公司运营中村集体增收需求与村民参与意愿调查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研究对象：强村公司（村集体控股企业）负责人、村干部、村民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核心问题/变量：强村公司业态（物业/劳务/农业/文旅）、村集体收入增长、收益分红（村民）、与村两委关系、人才运营、风险防控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强村公司业态（物业/劳务/农业/文旅）、村集体收入增长（风险防控）之间存在可检验的关系，且受群体差异（年龄/收入/地区/身份）调节（待验证）；H2：强村公司业态（物业/劳务/农业/文旅）、村集体收入增长是影响风险防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🔶发展新型农村集体经济政策（农业农村部）；🔶强村公司案例数据（须下载核验）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试点村问卷+农业农村部门访谈；获奖黑名单核对：近三年无强村公司获奖题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🔶发展新型农村集体经济政策（农业农村部）；🔶强村公司案例数据（须下载核验）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