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1116. “农事节庆，土味也出圈”——乡村农事节庆游客参与意愿与节庆消费行为调查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研究对象：参加乡村农事节庆（开渔/丰收/赏花）的游客与农户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核心问题/变量：农事节庆参与动机（赶集/亲子）、节庆消费（农特产/餐饮）、民俗表演出圈、农户增收、节庆可持续（办完即散）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农事节庆参与动机（赶集/亲子）、节庆消费（农特产/餐饮）（节庆可持续（办完即散））之间存在可检验的关系，且受群体差异（年龄/收入/地区/身份）调节（待验证）；H2：农事节庆参与动机（赶集/亲子）、节庆消费（农特产/餐饮）是影响节庆可持续（办完即散）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🔶农民丰收节与乡村文化活动政策（农业农村部、文旅部）；🔶农事节庆案例（须下载核验）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节庆现场问卷+县文旅局访谈；获奖黑名单核对：近三年无农事节庆获奖题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🔶农民丰收节与乡村文化活动政策（农业农村部、文旅部）；🔶农事节庆案例（须下载核验）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