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1117. “空心村蝶变，整村运营”——空心村民宿集群整村运营需求调查与市场机会挖掘研究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研究对象：整村运营（村企合作）项目中的村民、运营企业与游客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核心问题/变量：空心村改造（闲置房→民宿）、整村运营收益（村民租金+分红）、运营公司角色、游客体验、返乡就业、模式复制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空心村改造（闲置房→民宿）、整村运营收益（村民租金+分红）（模式复制）之间存在可检验的关系，且受群体差异（年龄/收入/地区/身份）调节（待验证）；H2：空心村改造（闲置房→民宿）、整村运营收益（村民租金+分红）是影响模式复制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🔶闲置宅基地与农房盘活政策（农业农村部、自然资源部）；🔶整村运营案例报道（须下载核验）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运营村实地问卷+企业访谈；获奖黑名单核对：近三年无空心村运营获奖题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🔶闲置宅基地与农房盘活政策（农业农村部、自然资源部）；🔶整村运营案例报道（须下载核验）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