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1118. “农产品深加工，土货变身”——农产品深加工产品消费需求与购买意愿调查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研究对象：购买县域农产品深加工品（预制/冻干/果干）的消费者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核心问题/变量：农产品深加工消费（本地特产加工品）、品牌化（区域公用品牌）、溢价接受（原产地）、口感与配料、返乡礼盒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H1：农产品深加工消费（本地特产加工品）、品牌化（区域公用品牌）显著影响返乡礼盒（待验证）；H2：不同人群（年龄/收入/城市等级）在上述关系中存在调节作用（待验证）。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🔶农产品加工业发展政策（农业农村部）；🔶县域加工品牌数据（须下载核验）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县域加工企业问卷+消费者访谈；获奖黑名单核对：近三年无农产品深加工获奖题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🔶农产品加工业发展政策（农业农村部）；🔶县域加工品牌数据（须下载核验）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