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1307. “县医院看大病，医共体托底”——县域医共体患者县内就医行为与转诊需求调查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研究对象：在县域医共体（县医院牵头）就医的农村患者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核心问题/变量：县域医共体建设（县乡一体）、县内看病比例（留在县里）、转诊通道（向上转院）、专家下沉（县里看名医）、报销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医共体建设（县乡一体）、县内看病比例（留在县里）（报销）之间存在可检验的关系，且受群体差异（年龄/收入/地区/身份）调节（待验证）；H2：县域医共体建设（县乡一体）、县内看病比例（留在县里）是影响报销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🔶紧密型县域医共体建设政策（卫健委）；🔶医共体建设数据（须下载核验）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县域医院渠道+患者问卷；获奖黑名单核对：近三年无县域医共体获奖题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🔶紧密型县域医共体建设政策（卫健委）；🔶医共体建设数据（须下载核验）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