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1370. “新农人IP，乡村网红2.0”——新农人直播带货变现行为与持续运营意愿调查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研究对象：打造个人IP（乡村生活/农产品）的新农人主播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核心问题/变量：新农人IP（人设/内容）、带货转化、涨粉与变现（橱窗/直播）、供应链（发货）、持续更新压力、平台规则、农村留守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农人IP（人设/内容）、带货转化（农村留守）之间存在可检验的关系，且受群体差异（年龄/收入/地区/身份）调节（待验证）；H2：新农人IP（人设/内容）、带货转化是影响农村留守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🔶乡村人才振兴与电商政策（农业农村部、商务部）；🔶新农人IP数据（须下载核验）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新农人账号问卷+MCN访谈；获奖黑名单核对：近三年无新农人IP获奖题（区别于795直播助农、1113村播，聚焦个人品牌化）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🔶乡村人才振兴与电商政策（农业农村部、商务部）；🔶新农人IP数据（须下载核验）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