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1372. “乡村快递进村，最后一公里打通”——农村快递进村使用频率与取件服务满意度调查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研究对象：享受快递进村（村级站点/共配）的村民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核心问题/变量：快递进村覆盖率（行政村）、取件距离（村站/代收点）、邮件时效、退换货便利（电商下乡）、农产品上行（寄快递）、补贴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快递进村覆盖率（行政村）、取件距离（村站/代收点）（补贴）之间存在可检验的关系，且受群体差异（年龄/收入/地区/身份）调节（待验证）；H2：快递进村覆盖率（行政村）、取件距离（村站/代收点）是影响补贴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🔶快递进村与农村寄递物流体系政策（国家邮政局、商务部）；🔶进村数据（须下载核验）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村民问卷+邮政/快递企业访谈；获奖黑名单核对：近三年无快递进村获奖题（区别于686服务驿站、259农村物流泛题，聚焦进村覆盖体验）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🔶快递进村与农村寄递物流体系政策（国家邮政局、商务部）；🔶进村数据（须下载核验）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