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169. “云上认养，田间有主”——城市居民认养农业参与意愿与农产品溯源需求调查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研究对象：城市家庭/亲子人群（对农产品溯源感兴趣）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核心问题/变量：参与动机（食品安全/亲子体验/助农）、认养品类、价格接受、远程监控期望、参与意愿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（食品安全/亲子体验/助农）、认养品类（参与意愿）之间存在可检验的关系，且受群体差异（年龄/收入/地区/身份）调节（待验证）；H2：参与动机（食品安全/亲子体验/助农）、认养品类是影响参与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✅全国认养农业预计突破1200亿元、年增速超25%；✅"认养农业小程序"2026年约84.3亿元、覆盖超2100万家庭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亲子社群/社区团购渠道；紧扣"云养经济"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✅全国认养农业预计突破1200亿元、年增速超25%；✅"认养农业小程序"2026年约84.3亿元、覆盖超2100万家庭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