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170. “乡村积分制，攒分换服务”——乡村治理积分制的村民参与意愿研究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研究对象：试点村村民、村干部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核心问题/变量：积分制知晓与参与率、激励内容偏好（实物/服务/荣誉）、治理效果感知（人居环境、移风易俗）、可持续性顾虑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积分制知晓与参与率、激励内容偏好（实物/服务/荣誉）（可持续性顾虑）之间存在可检验的关系，且受群体差异（年龄/收入/地区/身份）调节（待验证）；H2：积分制知晓与参与率、激励内容偏好（实物/服务/荣誉）是影响可持续性顾虑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✅乡村治理积分制政策与实践案例（农业农村部文件、央媒报道）；🔶各地试点成效数据（须下载核验）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试点村实地问卷+村干部访谈；与056（数字乡村）区分：聚焦积分制治理机制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✅乡村治理积分制政策与实践案例（农业农村部文件、央媒报道）；🔶各地试点成效数据（须下载核验）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