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171. “共享菜园，都市农夫”——都市共享菜园体验满意度与续租意愿调查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研究对象：租过共享菜园或进行阳台种菜的都市居民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核心问题/变量：租地动机（减压/亲子/食材）、年租金接受、运营服务满意度、续租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租地动机（减压/亲子/食材）、年租金接受（续租）之间存在可检验的关系，且受群体差异（年龄/收入/地区/身份）调节（待验证）；H2：租地动机（减压/亲子/食材）、年租金接受是影响续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🔶山东超半数共享菜园亏损、纯收地租盈利不到10%（行业报道）；✅认养农业1200亿大盘背景；✅都市农业政策（乡村振兴/农业现代化规划）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共享菜园园区现场+都市农业社群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🔶山东超半数共享菜园亏损、纯收地租盈利不到10%（行业报道）；✅认养农业1200亿大盘背景；✅都市农业政策（乡村振兴/农业现代化规划）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