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174. “庭院经济，方寸生金”——农民庭院经济经营意愿与政策支持需求调查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研究对象：农村庭院户主（有意发展庭院种养/庭院民宿/农家乐）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核心问题/变量：经营意愿、启动资金、销售渠道、政策支持需求、风险顾虑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H1：经营意愿、启动资金（风险顾虑）之间存在可检验的关系，且受群体差异（年龄/收入/地区/身份）调节（待验证）；H2：经营意愿、启动资金是影响风险顾虑的关键因素（待验证）。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✅2026年中央一号文件支持庭院经济（政策背景，🔶具体条款待引）；✅乡村全面振兴规划（背景）；✅返乡创业超1300万人（第二批已核验）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乡镇村委渠道入户问卷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✅2026年中央一号文件支持庭院经济（政策背景，🔶具体条款待引）；✅乡村全面振兴规划（背景）；✅返乡创业超1300万人（第二批已核验）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