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270. “县域连锁，下沉生意”——县域连锁商业、下沉市场消费行为与消费升级研究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建议地区：县域（可按省/市细化抽样框）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确定行业：14_乡村振兴与县域经济（选择理由：贴合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研究对象：县域居民（体验过连锁品牌下沉：奶茶/快餐/零售）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核心问题/变量：品牌偏好、消费升级感知（vs当地小店）、价格接受、县域商业生态评价、需求缺口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H1：品牌偏好、消费升级感知（vs当地小店）显著影响需求缺口（待验证）；H2：不同人群（年龄/收入/城市等级）在上述关系中存在调节作用（待验证）。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✅2026上半年乡村消费品零售额33216亿元（+2.5%，第二批已核验）；✅县域商业体系建设（商务部政策）；🔶"县城咖啡/奶茶下沉"媒体现象（需引原文）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县域商圈现场调研；与58题（县域青年消费）区分：聚焦品牌下沉供给端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✅2026上半年乡村消费品零售额33216亿元（+2.5%，第二批已核验）；✅县域商业体系建设（商务部政策）；🔶"县城咖啡/奶茶下沉"媒体现象（需引原文）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