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287. “快递进村，最后一公里”——农村快递取件便利性感知与使用满意度研究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研究对象：农村网购居民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核心问题/变量：网购频次、取件便利（代收点/村站）、快递时效、农产品上行需求、满意度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网购频次、取件便利（代收点/村站）（满意度）之间存在可检验的关系，且受群体差异（年龄/收入/地区/身份）调节（待验证）；H2：网购频次、取件便利（代收点/村站）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✅"快递进村"工程（国家邮政局政策）；✅农村网络零售额2025年破3万亿（第二批已核验）；🔶客货邮融合站点数量（国家邮政局数据需核验）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村级快递站/乡镇网点现场调研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✅"快递进村"工程（国家邮政局政策）；✅农村网络零售额2025年破3万亿（第二批已核验）；🔶客货邮融合站点数量（国家邮政局数据需核验）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