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431. “稻田里的生意经”——稻田农旅体验参与动机与复游意愿调查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建议地区：乡村（可按省/市细化抽样框）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研究对象：参与过稻田/农田体验（稻田画打卡/稻香咖啡/插秧体验）的游客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核心问题/变量：参与动机（亲子/出片/怀旧）、项目类型、消费支出、农业科普收获、复游意愿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H1：参与动机（亲子/出片/怀旧）、项目类型显著影响复游意愿（待验证）；H2：不同人群（年龄/收入/城市等级）在上述关系中存在调节作用（待验证）。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🔶稻田经济（"稻田咖啡/稻田画"媒体现象需引原文）；✅乡村旅游人次与收入（文旅部数据🔶需核验）；✅认养农业新模式（第五六轮已核验）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农旅项目现场+OTA渠道；与169题（认养农业）区分：聚焦稻田场景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🔶稻田经济（"稻田咖啡/稻田画"媒体现象需引原文）；✅乡村旅游人次与收入（文旅部数据🔶需核验）；✅认养农业新模式（第五六轮已核验）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