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432. “一村一品，土货品牌化”——地标农产品购买行为与品牌信任调查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研究对象：购买过地理标志农产品（五常大米/阳澄湖大闸蟹等）的消费者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核心问题/变量：购买渠道、真伪担忧（假冒地标）、溢价接受、产地溯源需求、品牌信任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H1：购买渠道、真伪担忧（假冒地标）显著影响品牌信任（待验证）；H2：不同人群（年龄/收入/城市等级）在上述关系中存在调节作用（待验证）。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🔶地理标志产品数量（国家知识产权局数据需核验）；✅"一村一品"示范村镇（农业农村部政策背景）；✅农村电商破3万亿（第二批已核验）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电商平台+农产品展销渠道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🔶地理标志产品数量（国家知识产权局数据需核验）；✅"一村一品"示范村镇（农业农村部政策背景）；✅农村电商破3万亿（第二批已核验）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