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048. “村咖飘香，县域新景”——乡村咖啡馆消费场景与游客消费意愿研究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研究对象：乡村咖啡馆消费者（游客+本地青年）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核心问题/变量：场景吸引力、情绪价值、消费金额、满意度、推荐意愿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H1：场景吸引力、情绪价值显著影响推荐意愿（待验证）；H2：不同人群（年龄/收入/城市等级）在上述关系中存在调节作用（待验证）。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