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050. “归雁创业，沃土生金”——返乡创业青年创业意愿与政策支持感知研究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研究对象：返乡创业青年/有返乡意向的青年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核心问题/变量：创业意愿、政策感知（补贴/贷款/场地）、资源可得性、风险感知、创业行动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创业意愿、政策感知（补贴/贷款/场地）（创业行动）之间存在可检验的关系，且受群体差异（年龄/收入/地区/身份）调节（待验证）；H2：创业意愿、政策感知（补贴/贷款/场地）是影响创业行动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