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512. “县城老家，周末回村”——城市青年周末回村动机与消费结构调查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研究对象：周末返乡（老家在县乡）的城市工作青年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核心问题/变量：回村频次与动机（乡愁/低成本/家庭）、回村消费结构（交通、村宴、土产）、乡村空间改造（老屋翻新）投入、相较返乡定居的决策差异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回村频次与动机（乡愁/低成本/家庭）、回村消费结构（交通（相较返乡定居的决策差异）之间存在可检验的关系，且受群体差异（年龄/收入/地区/身份）调节（待验证）；H2：回村频次与动机（乡愁/低成本/家庭）、回村消费结构（交通是影响相较返乡定居的决策差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🔶“周末回村”“程心回乡”一类现象报道（媒体，须下载核验）；✅乡村振兴与县域经济政策（已有证据）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城乡通勤青年社群问卷+家庭访谈；区别于050（返乡创业）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🔶“周末回村”“程心回乡”一类现象报道（媒体，须下载核验）；✅乡村振兴与县域经济政策（已有证据）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