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513. “垂直农场，城里种菜”——垂直农业、工厂化种植的消费与认知研究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研究对象：关注食品安全的城市消费者、智慧农业从业者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核心问题/变量：垂直农场/植物工厂产出蔬菜的认知（新鲜/健康/科技）、溢价接受度、购买渠道（商超/直供）、对“无土菜”的接受、投资与技术信心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垂直农场/植物工厂产出蔬菜的认知（新鲜/健康/科技）、溢价接受度（投资与技术信心）之间存在可检验的关系，且受群体差异（年龄/收入/地区/身份）调节（待验证）；H2：垂直农场/植物工厂产出蔬菜的认知（新鲜/健康/科技）、溢价接受度是影响投资与技术信心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🔶垂直农业项目与市场动态（农科媒体、行业报告须下载核验）；✅设施农业与粮食安全政策（农业农村部）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商超渠道问卷+企业访谈；区别于054（智慧大棚农户端）：聚焦消费端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🔶垂直农业项目与市场动态（农科媒体、行业报告须下载核验）；✅设施农业与粮食安全政策（农业农村部）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