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051. “乡村伴手礼，土特产出圈”——乡村旅游伴手礼购买动机与产地信任研究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研究对象：购买过乡村旅游伴手礼/农特产品礼盒的游客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核心问题/变量：购买动机（送礼/纪念）、包装颜值与"土气"矛盾、价格带、产地信任（防伪溯源）、复购渠道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H1：购买动机（送礼/纪念）、包装颜值与"土气"矛盾显著影响复购渠道（待验证）；H2：不同人群（年龄/收入/城市等级）在上述关系中存在调节作用（待验证）。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🔶农产品礼盒市场（电商平台数据需核验）；✅农村电商破3万亿（第二批证据）；✅"一村一品"政策（432题衔接）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乡村旅游景区+电商渠道；与399（城市伴手礼）区分：聚焦乡村农特产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🔶农产品礼盒市场（电商平台数据需核验）；✅农村电商破3万亿（第二批证据）；✅"一村一品"政策（432题衔接）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