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052. “冷链进村，鲜达万家”——农村社区生鲜冷链配送使用体验与需求研究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研究对象：乡镇/农村居民（近一年网购生鲜者）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核心问题/变量：配送质量感知、价格敏感度、使用频率、满意度、需求缺口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H1：配送质量感知、价格敏感度（需求缺口）之间存在可检验的关系，且受群体差异（年龄/收入/地区/身份）调节（待验证）；H2：配送质量感知、价格敏感度是影响需求缺口的关键因素（待验证）。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