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054. “智慧大棚，数字种田”——新型农业经营主体智慧农业设备采纳意愿与成本收益预期研究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研究对象：种植大户/合作社/家庭农场经营者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核心问题/变量：感知有用性、感知易用性、成本收益预期、技术自我效能、采纳意愿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H1：感知有用性、感知易用性（采纳意愿）之间存在可检验的关系，且受群体差异（年龄/收入/地区/身份）调节（待验证）；H2：感知有用性、感知易用性是影响采纳意愿的关键因素（待验证）。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