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057. “农技云课，手机学堂”——高素质农民数字技能培训需求与参与意愿研究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研究对象：接受过高素质农民培训的农民/新农人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核心问题/变量：培训需求、数字化技能自我效能、参与意愿、培训效果感知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培训需求、数字化技能自我效能（培训效果感知）之间存在可检验的关系，且受群体差异（年龄/收入/地区/身份）调节（待验证）；H2：培训需求、数字化技能自我效能是影响培训效果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