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599. “乡村咖啡，下沉的醇香”——乡村咖啡馆的消费动机与复购意愿研究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研究对象：县城/乡镇咖啡店消费者、乡村咖啡馆主理人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核心问题/变量：县域咖啡消费增长、乡村咖啡馆（村咖）打卡动机、客单价与复购、与城市咖啡文化差异、带动乡村消费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H1：县域咖啡消费增长、乡村咖啡馆（村咖）打卡动机显著影响带动乡村消费（待验证）；H2：不同人群（年龄/收入/城市等级）在上述关系中存在调节作用（待验证）。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🔶县域咖啡热报道（媒体须下载核验）；✅县域商业建设政策（商务部）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县域咖啡馆问卷+主理人访谈；区别于488（社区咖啡角）聚焦县域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🔶县域咖啡热报道（媒体须下载核验）；✅县域商业建设政策（商务部）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