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626. “乡村美育课，孩子看世界”——乡村少儿美育资源需求与家庭付费意愿调查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研究对象：参与乡村美育项目（公益课/下乡志愿者/线上课）的儿童、家长与机构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核心问题/变量：乡村美育资源缺口、参与率、课程内容偏好、家庭付费意愿、志愿者/公益组织模式、效果感知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H1：乡村美育资源缺口、参与率（效果感知）之间存在可检验的关系，且受群体差异（年龄/收入/地区/身份）调节（待验证）；H2：乡村美育资源缺口、参与率是影响效果感知的关键因素（待验证）。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🔶乡村美育项目报道（央媒须下载核验）；✅乡村教育振兴政策（教育部）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乡村学校/公益机构渠道问卷；获奖黑名单核对：近三年无乡村美育获奖题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🔶乡村美育项目报道（央媒须下载核验）；✅乡村教育振兴政策（教育部）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