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065. “家电下乡，旧换新潮”——农村居民家电以旧换新参与意愿与障碍研究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研究对象：有家电换新需求的农村居民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核心问题/变量：政策知晓、参与障碍（信息渠道/旧机处理/物流/补贴申领）、参与意愿、满意度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政策知晓、参与障碍（信息渠道/旧机处理/物流/补贴申领）（满意度）之间存在可检验的关系，且受群体差异（年龄/收入/地区/身份）调节（待验证）；H2：政策知晓、参与障碍（信息渠道/旧机处理/物流/补贴申领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✅政策要求线上平台保障农村地区线上补贴消费需求、线上渠道向农村倾斜（697号文）；✅农村消费市场扩容：2026H1乡村消费品零售额33216亿元（+2.5%）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县域家电卖场/村镇网点渠道；与第二批乡村板块形成"政策下乡"视角互补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✅政策要求线上平台保障农村地区线上补贴消费需求、线上渠道向农村倾斜（697号文）；✅农村消费市场扩容：2026H1乡村消费品零售额33216亿元（+2.5%）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