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676. “县城咖啡图书馆，文艺新空间”——县域复合空间的消费需求与光顾意愿调查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建议地区：县域（可按省/市细化抽样框）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确定行业：14_乡村振兴与县域经济（选择理由：贴合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研究对象：光顾县域咖啡书店/复合休闲空间的县城青年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核心问题/变量：县域复合空间消费动机（自习/社交/打卡）、消费内容（咖啡/书/文创）、价格接受、与原城市体验对比、供给缺口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县域复合空间消费动机（自习/社交/打卡）、消费内容（咖啡/书/文创）（供给缺口）之间存在可检验的关系，且受群体差异（年龄/收入/地区/身份）调节（待验证）；H2：县域复合空间消费动机（自习/社交/打卡）、消费内容（咖啡/书/文创）是影响供给缺口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🔶县域新消费空间报道（媒体须下载核验）；✅县域商业建设政策（商务部）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县域门店实地问卷+经营者访谈；获奖黑名单核对：近三年无县城复合空间获奖题（区别于599村咖）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🔶县域新消费空间报道（媒体须下载核验）；✅县域商业建设政策（商务部）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