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707. “乡村咖啡馆地图，一杯村咖”——县域乡村咖啡馆打卡动机与复购意愿研究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研究对象：打卡乡村咖啡馆的游客与返乡青年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核心问题/变量：村咖打卡动机（出片/体验/返乡创业）、单杯价格与复购、乡村场景附加值、经营者画像（返乡/新农人）、可持续经营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H1：村咖打卡动机（出片/体验/返乡创业）、单杯价格与复购显著影响可持续经营（待验证）；H2：不同人群（年龄/收入/城市等级）在上述关系中存在调节作用（待验证）。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🔶村咖爆火报道（央媒须下载核验）；✅县域商业与乡村振兴政策（商务部）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村咖实地问卷+主理人访谈；获奖黑名单核对：近三年无村咖获奖题（区别于48/599村咖消费，聚焦打卡与创业）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🔶村咖爆火报道（央媒须下载核验）；✅县域商业与乡村振兴政策（商务部）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