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724. “共享农田，城里人种地”——共享农田租赁需求与续租意愿研究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研究对象：租赁共享菜园/市民农园（认养地块）的城市家庭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核心问题/变量：共享农田租赁动机（亲子/健康/田园梦）、年租金与面积、种植托管模式、产出分配、续租意愿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共享农田租赁动机（亲子/健康/田园梦）、年租金与面积（续租意愿）之间存在可检验的关系，且受群体差异（年龄/收入/地区/身份）调节（待验证）；H2：共享农田租赁动机（亲子/健康/田园梦）、年租金与面积是影响续租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🔶共享菜园报道（农业媒体须下载核验）；✅休闲农业与乡村旅游政策（农业农村部）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农园渠道问卷+运营方访谈；获奖黑名单核对：近三年无共享农田获奖题（区别于607云认养）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🔶共享菜园报道（农业媒体须下载核验）；✅休闲农业与乡村旅游政策（农业农村部）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