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737. “县中崛起，教育县城化”——县城中学择校意愿与教育消费投入研究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建议地区：县城（可按省/市细化抽样框）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研究对象：县中（省级示范高中）学生家长、就读县中的学生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核心问题/变量：县中崛起背景（生源回流）、陪读/租房消费、课外辅导投入、师资与升学信心、与城市名校对比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H1：县中崛起背景（生源回流）、陪读/租房消费显著影响与城市名校对比（待验证）；H2：不同人群（年龄/收入/城市等级）在上述关系中存在调节作用（待验证）。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✅县中振兴计划（教育部）；🔶县中发展数据（须下载核验）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县中渠道问卷+家长访谈；获奖黑名单核对：近三年无县中教育获奖题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✅县中振兴计划（教育部）；🔶县中发展数据（须下载核验）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