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844. “村咖2.0，县城咖啡围城”——县城咖啡消费意愿与价格敏感度调查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研究对象：县城（含乡镇）咖啡消费者与县域咖啡创业者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核心问题/变量：县城咖啡消费频次（瑞幸/库迪下沉）、价格敏感（9.9元）、县域咖啡习惯养成、与一线差异（客单/时段）、创业者机会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H1：县城咖啡消费频次（瑞幸/库迪下沉）、价格敏感（9.9元）显著影响创业者机会（待验证）；H2：不同人群（年龄/收入/城市等级）在上述关系中存在调节作用（待验证）。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🔶瑞幸县域扩张数据（品牌财报须下载核验）；✅县域商业建设政策（商务部）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县城门店实地问卷+加盟商访谈；获奖黑名单核对：近三年无县城咖啡获奖题（区别于599村咖、676县城复合空间）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🔶瑞幸县域扩张数据（品牌财报须下载核验）；✅县域商业建设政策（商务部）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