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893. “农村小卖部改造，焕新便利店”——农村小店便利店化升级需求与店主改造意愿调查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研究对象：改造升级的农村小店店主、村民顾客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核心问题/变量：小卖部升级内容（货架/冷链/快递代收）、经营收益变化、进货渠道（B2B平台）、村民消费习惯、小店掌柜作用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H1：小卖部升级内容（货架/冷链/快递代收）、经营收益变化显著影响小店掌柜作用（待验证）；H2：不同人群（年龄/收入/城市等级）在上述关系中存在调节作用（待验证）。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🔶农村商业网点改造政策（商务部）；🔶农村小店改造案例（须下载核验）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小店实地问卷+店主访谈；获奖黑名单核对：近三年无农村小店升级获奖题（区别于686驿站）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🔶农村商业网点改造政策（商务部）；🔶农村小店改造案例（须下载核验）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