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907. “乡村设计师下乡，乡建美学”——乡村美学改造需求与村民参与意愿调查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研究对象：参与乡村改造的设计师团队、村干部、村民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核心问题/变量：乡村设计项目（民宿/村貌/公共空间）、村民参与度、设计落地（施工/材料）、美学与实用平衡、旅游带动、满意度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乡村设计项目（民宿/村貌/公共空间）、村民参与度（满意度）之间存在可检验的关系，且受群体差异（年龄/收入/地区/身份）调节（待验证）；H2：乡村设计项目（民宿/村貌/公共空间）、村民参与度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🔶乡村建设与设计师下乡政策（住建部、农业农村部）；🔶乡建美学案例报道（须下载核验）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乡建团队问卷+试点村访谈；获奖黑名单核对：近三年无乡村设计获奖题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🔶乡村建设与设计师下乡政策（住建部、农业农村部）；🔶乡建美学案例报道（须下载核验）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