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927. “小院经济，一院一景”——乡村小院经济的游客消费需求及市场机会调查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研究对象：经营庭院经济（小院餐饮/民宿/手作）的农户与游客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核心问题/变量：小院经济形态（餐饮/茶室/民宿）、农户投入与收益、游客消费（打卡/体验）、小院改造设计、政策扶持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H1：小院经济形态（餐饮/茶室/民宿）、农户投入与收益显著影响政策扶持（待验证）；H2：不同人群（年龄/收入/城市等级）在上述关系中存在调节作用（待验证）。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🔶庭院经济政策（农业农村部）；🔶小院经济案例报道（须下载核验）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小院农户问卷+游客访谈；获奖黑名单核对：近三年无庭院经济获奖题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🔶庭院经济政策（农业农村部）；🔶小院经济案例报道（须下载核验）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