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958. “县域夜校，县城年轻人充电”——县域青年课程需求与夜校参与意愿调查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研究对象：参加县域/县城青年夜校的县城青年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核心问题/变量：县域夜校课程供给（技能/兴趣）、报名火爆度、与大城市夜校差异、社交圈拓展、县域青年发展需求、持续运营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县域夜校课程供给（技能/兴趣）、报名火爆度（持续运营）之间存在可检验的关系，且受群体差异（年龄/收入/地区/身份）调节（待验证）；H2：县域夜校课程供给（技能/兴趣）、报名火爆度是影响持续运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🔶青年夜校推广政策（共青团中央）；🔶县域夜校报道（须下载核验）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县域夜校机构问卷+学员访谈；获奖黑名单核对：近三年无县域夜校获奖题（区别于725青年夜校泛题，聚焦县域）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🔶青年夜校推广政策（共青团中央）；🔶县域夜校报道（须下载核验）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