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973. “村超衍生品，村超经济圈”——村超、村BA周边消费需求与赛事带动效应调查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研究对象：观看村超/村BA并消费周边（球衣/美食/民宿）的游客与本地居民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核心问题/变量：村超观赛客流、周边商品（球衣/手办）消费、夜市美食带动、住宿需求（民宿/露营）、赛事IP化、可持续性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H1：村超观赛客流、周边商品（球衣/手办）消费显著影响可持续性（待验证）；H2：不同人群（年龄/收入/城市等级）在上述关系中存在调节作用（待验证）。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🔶村超村BA现象与文旅带动（央媒、文旅部须下载核验）；✅乡村体育赛事政策（农业农村部、体育总局）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赛事现场问卷+本地商家访谈；获奖黑名单核对：近三年无村超衍生消费获奖题（区别于600村BA村超观赛泛题）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🔶村超村BA现象与文旅带动（央媒、文旅部须下载核验）；✅乡村体育赛事政策（农业农村部、体育总局）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