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1039. “绿电消费，企业降碳”——高耗能企业绿电采购（绿证、绿电交易）意愿与成本因素研究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研究对象：采购绿电/绿证的制造企业（出口导向）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核心问题/变量：绿电交易参与（绿证/直购）、碳关税（CBAM）压力、绿色电力溢价接受、供应链碳要求、ESG披露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绿电交易参与（绿证/直购）、碳关税（CBAM）压力（ESG披露）之间存在可检验的关系，且受群体差异（年龄/收入/地区/身份）调节（待验证）；H2：绿电交易参与（绿证/直购）、碳关税（CBAM）压力是影响ESG披露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🔶绿色电力交易与绿证政策（发改委、能源局）；🔶绿电交易数据（全国电力交易中心须下载核验）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企业问卷+电力交易中心访谈；获奖黑名单核对：近三年无绿电采购获奖题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🔶绿色电力交易与绿证政策（发改委、能源局）；🔶绿电交易数据（全国电力交易中心须下载核验）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