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1161. “碳市场扩容，钢铁水泥入市”——扩容行业控排企业减排技术需求及碳市场参与意愿调查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研究对象：纳入全国碳市场扩容行业的控排企业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核心问题/变量：碳配额分配与履约、碳价上升（120元+/吨）、减排技术投入、碳数据报送、中小企业应对（成本传导）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碳配额分配与履约、碳价上升（120元+/吨）（中小企业应对（成本传导））之间存在可检验的关系，且受群体差异（年龄/收入/地区/身份）调节（待验证）；H2：碳配额分配与履约、碳价上升（120元+/吨）是影响中小企业应对（成本传导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🔶全国碳市场扩围政策（生态环境部）；🔶碳价与交易数据（全国碳市场须下载核验）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控排企业问卷+碳交易机构访谈；获奖黑名单核对：近三年无碳市场扩容获奖题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🔶全国碳市场扩围政策（生态环境部）；🔶碳价与交易数据（全国碳市场须下载核验）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