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1162. “产品碳足迹，出口新护照”——碳关税下出口企业碳足迹核算需求及低碳改造市场机会调查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研究对象：面临碳足迹/碳关税（CBAM）要求的出口企业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核心问题/变量：碳足迹核算要求（欧盟新规）、碳标签认知、低碳改造成本、绿色供应链、出口竞争力影响、政策支持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碳足迹核算要求（欧盟新规）、碳标签认知（政策支持）之间存在可检验的关系，且受群体差异（年龄/收入/地区/身份）调节（待验证）；H2：碳足迹核算要求（欧盟新规）、碳标签认知是影响政策支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🔶产品碳足迹核算标准与政策（发改委、市场监管总局）；🔶碳关税应对数据（须下载核验）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出口制造企业问卷+认证机构访谈；获奖黑名单核对：近三年无产品碳足迹获奖题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🔶产品碳足迹核算标准与政策（发改委、市场监管总局）；🔶碳关税应对数据（须下载核验）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