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1163. “节能家电换代，一级能效”——一级能效家电（补贴）消费升级与换购意愿研究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研究对象：选购一级能效家电（补贴范围）的消费者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核心问题/变量：能效等级选择（一级vs三级）、国补叠加（以旧换新+能效）、长期电费节省感知、绿色家电溢价接受、换新时机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H1：能效等级选择（一级vs三级）、国补叠加（以旧换新+能效）显著影响换新时机（待验证）；H2：不同人群（年龄/收入/城市等级）在上述关系中存在调节作用（待验证）。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🔶家电能效标识与绿色消费政策（发改委、市场监管总局）；🔶能效家电市场数据（须下载核验）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家电卖场问卷+渠道访谈；获奖黑名单核对：近三年无一级能效家电获奖题（区别于66绿色家电泛题、61国补，聚焦能效等级决策）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🔶家电能效标识与绿色消费政策（发改委、市场监管总局）；🔶能效家电市场数据（须下载核验）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